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20"/>
        <w:jc w:val="center"/>
      </w:pPr>
      <w:r>
        <w:rPr>
          <w:rFonts w:ascii="Calibri" w:hAnsi="Calibri" w:eastAsia="Microsoft YaHei"/>
          <w:b/>
          <w:color w:val="2E74B5"/>
          <w:sz w:val="44"/>
        </w:rPr>
        <w:t>女性AI牙周健康管理平台产品需求文档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E2F3"/>
          <w:left w:val="single" w:sz="4" w:space="0" w:color="D9E2F3"/>
          <w:bottom w:val="single" w:sz="4" w:space="0" w:color="D9E2F3"/>
          <w:right w:val="single" w:sz="4" w:space="0" w:color="D9E2F3"/>
          <w:insideH w:val="single" w:sz="4" w:space="0" w:color="D9E2F3"/>
          <w:insideV w:val="single" w:sz="4" w:space="0" w:color="D9E2F3"/>
        </w:tblBorders>
        <w:tblInd w:type="dxa" w:w="120"/>
      </w:tblPr>
      <w:tblGrid>
        <w:gridCol w:w="1680"/>
        <w:gridCol w:w="7680"/>
      </w:tblGrid>
      <w:tr>
        <w:tc>
          <w:tcPr>
            <w:tcW w:type="dxa" w:w="1680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版本</w:t>
            </w:r>
          </w:p>
        </w:tc>
        <w:tc>
          <w:tcPr>
            <w:tcW w:type="dxa" w:w="7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9"/>
              </w:rPr>
              <w:t>V0.2</w:t>
            </w:r>
          </w:p>
        </w:tc>
      </w:tr>
      <w:tr>
        <w:tc>
          <w:tcPr>
            <w:tcW w:type="dxa" w:w="1680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依据素材</w:t>
            </w:r>
          </w:p>
        </w:tc>
        <w:tc>
          <w:tcPr>
            <w:tcW w:type="dxa" w:w="7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9"/>
              </w:rPr>
              <w:t>检查前阶段原型、检查后阶段原型、医院端病中/病后阶段原型</w:t>
            </w:r>
          </w:p>
        </w:tc>
      </w:tr>
      <w:tr>
        <w:tc>
          <w:tcPr>
            <w:tcW w:type="dxa" w:w="1680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4D78"/>
                <w:sz w:val="19"/>
              </w:rPr>
              <w:t>产品定位</w:t>
            </w:r>
          </w:p>
        </w:tc>
        <w:tc>
          <w:tcPr>
            <w:tcW w:type="dxa" w:w="7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9"/>
              </w:rPr>
              <w:t>面向年轻女性牙周炎/牙龈健康管理场景的 AI 慢病管理平台，覆盖检查前自测与预约、就诊中医护协同、检查后随访康复、可穿戴设备改期辅助与社交情感支持。</w:t>
            </w:r>
          </w:p>
        </w:tc>
      </w:tr>
    </w:tbl>
    <w:p>
      <w:pPr>
        <w:spacing w:after="160"/>
      </w:pPr>
    </w:p>
    <w:p>
      <w:pPr>
        <w:pStyle w:val="Heading1"/>
      </w:pPr>
      <w:r>
        <w:t>1. 产品概述</w:t>
      </w:r>
    </w:p>
    <w:p>
      <w:pPr>
        <w:pStyle w:val="Heading2"/>
      </w:pPr>
      <w:r>
        <w:t>1.1 背景</w:t>
      </w:r>
    </w:p>
    <w:p>
      <w:r>
        <w:rPr>
          <w:rFonts w:ascii="Calibri" w:hAnsi="Calibri" w:eastAsia="Microsoft YaHei"/>
          <w:sz w:val="22"/>
        </w:rPr>
        <w:t>牙龈出血、牙周炎、牙菌斑和刷牙习惯不佳等问题具有高频、慢性、易被忽视的特点。年轻女性还会受到月经周期、妊娠、情绪压力、作息与生活方式变化等因素影响，牙龈炎症、出血感知和就诊安排更容易出现波动。用户在就诊前通常缺少低门槛初筛和可信的就诊建议；就诊后又容易出现复诊改期、随访遗漏、刷牙方式不规范、生活习惯难坚持等问题。医院端则需要更高效地处理预约、AI 初筛报告、复诊问诊、异常随访与康复数据。</w:t>
      </w:r>
    </w:p>
    <w:p>
      <w:r>
        <w:rPr>
          <w:rFonts w:ascii="Calibri" w:hAnsi="Calibri" w:eastAsia="Microsoft YaHei"/>
          <w:sz w:val="22"/>
        </w:rPr>
        <w:t>本产品通过移动端用户应用与医院端工作台联动，形成“AI 初筛 - 预约就诊 - 医生复核 - 术后/检查后随访 - 康复监测 - 社交情感支持”的闭环。</w:t>
      </w:r>
    </w:p>
    <w:p>
      <w:r>
        <w:rPr>
          <w:rFonts w:ascii="Calibri" w:hAnsi="Calibri" w:eastAsia="Microsoft YaHei"/>
          <w:sz w:val="22"/>
        </w:rPr>
        <w:t>从市场与政策背景看，FemTech 自 2016 年以来成为女性健康科技的重要行业语境，但本产品不做泛女性健康平台，而是将女性健康视角聚焦到牙周慢病管理。国家卫健委《健康口腔行动方案（2019—2025年）》明确将中青年人群口腔健康管理、牙周健康维护、牙线等口腔保健用品使用、定期口腔检查、预防性洁治、互联网化健康档案连续记录纳入口腔健康行动方向；《卫生健康行业人工智能应用场景参考指引》则为 AI 预问诊、医学影像辅助诊断、医学科普、患者数据脱敏与权限隔离等能力提供政策语境。产品应以“预防优先、医生复核、隐私可控、院前院中院后连续管理”为核心原则。</w:t>
      </w:r>
    </w:p>
    <w:p>
      <w:pPr>
        <w:pStyle w:val="Heading2"/>
      </w:pPr>
      <w:r>
        <w:t>1.2 产品目标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通过 AI 图像识别实现牙周健康早期筛查，帮助用户在检查前获得结构化风险提示与就诊建议。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提升年轻女性患者就诊率和复诊率，降低因治疗恐惧、经期波动、妊娠/备孕顾虑、时间冲突导致的爽约或延迟治疗。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提升预约和改期效率，通过 AI 推荐可用时段、可穿戴数据提示和医生审核机制，减少用户与医院之间的沟通成本。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帮助医生快速查看 AI 初筛、病情报告、随访问诊和康复数据，提升长期患者管理效率。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通过智能刷牙监测、生活习惯记录、依从性评分和提醒机制，提高病后康复依从性。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通过相似病友匹配和康复社区，提供情绪支持与经验交流，但不替代医生诊疗。</w:t>
      </w:r>
    </w:p>
    <w:p>
      <w:pPr>
        <w:pStyle w:val="Heading2"/>
      </w:pPr>
      <w:r>
        <w:t>1.3 核心用户与角色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578"/>
        <w:gridCol w:w="2103"/>
        <w:gridCol w:w="5679"/>
      </w:tblGrid>
      <w:tr>
        <w:tc>
          <w:tcPr>
            <w:tcW w:type="dxa" w:w="1578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角色</w:t>
            </w:r>
          </w:p>
        </w:tc>
        <w:tc>
          <w:tcPr>
            <w:tcW w:type="dxa" w:w="2103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主要诉求</w:t>
            </w:r>
          </w:p>
        </w:tc>
        <w:tc>
          <w:tcPr>
            <w:tcW w:type="dxa" w:w="5679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核心功能</w:t>
            </w:r>
          </w:p>
        </w:tc>
      </w:tr>
      <w:tr>
        <w:tc>
          <w:tcPr>
            <w:tcW w:type="dxa" w:w="157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核心患者：20-35 岁女性</w:t>
            </w:r>
          </w:p>
        </w:tc>
        <w:tc>
          <w:tcPr>
            <w:tcW w:type="dxa" w:w="210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快速了解牙龈健康、减少治疗恐惧、灵活处理经期/妊娠相关预约冲突、病后按计划恢复</w:t>
            </w:r>
          </w:p>
        </w:tc>
        <w:tc>
          <w:tcPr>
            <w:tcW w:type="dxa" w:w="567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口腔初筛、预约/改期、可穿戴数据辅助、AI 语音问诊、智能刷牙、生活记录、依从性评分、社区支持</w:t>
            </w:r>
          </w:p>
        </w:tc>
      </w:tr>
      <w:tr>
        <w:tc>
          <w:tcPr>
            <w:tcW w:type="dxa" w:w="157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泛患者/普通用户</w:t>
            </w:r>
          </w:p>
        </w:tc>
        <w:tc>
          <w:tcPr>
            <w:tcW w:type="dxa" w:w="210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获得牙龈健康初筛、预约和随访服务</w:t>
            </w:r>
          </w:p>
        </w:tc>
        <w:tc>
          <w:tcPr>
            <w:tcW w:type="dxa" w:w="567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口腔初筛、预约/改期、检查后随访、口腔健康建议</w:t>
            </w:r>
          </w:p>
        </w:tc>
      </w:tr>
      <w:tr>
        <w:tc>
          <w:tcPr>
            <w:tcW w:type="dxa" w:w="157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</w:t>
            </w:r>
          </w:p>
        </w:tc>
        <w:tc>
          <w:tcPr>
            <w:tcW w:type="dxa" w:w="210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快速掌握患者病情、处理预约和复诊、干预异常</w:t>
            </w:r>
          </w:p>
        </w:tc>
        <w:tc>
          <w:tcPr>
            <w:tcW w:type="dxa" w:w="567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医生工作台、患者详情、AI 辅助诊断、改期审核、复诊问诊处理、康复数据查看</w:t>
            </w:r>
          </w:p>
        </w:tc>
      </w:tr>
      <w:tr>
        <w:tc>
          <w:tcPr>
            <w:tcW w:type="dxa" w:w="157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护士/服务执行人员</w:t>
            </w:r>
          </w:p>
        </w:tc>
        <w:tc>
          <w:tcPr>
            <w:tcW w:type="dxa" w:w="210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执行就诊中安抚/舒缓服务和护理任务</w:t>
            </w:r>
          </w:p>
        </w:tc>
        <w:tc>
          <w:tcPr>
            <w:tcW w:type="dxa" w:w="567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护士工作台、服务任务卡、患者服务详情、任务完成记录</w:t>
            </w:r>
          </w:p>
        </w:tc>
      </w:tr>
      <w:tr>
        <w:tc>
          <w:tcPr>
            <w:tcW w:type="dxa" w:w="157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诊所/医院管理员</w:t>
            </w:r>
          </w:p>
        </w:tc>
        <w:tc>
          <w:tcPr>
            <w:tcW w:type="dxa" w:w="210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管理医生排班、账号、科室、规则和数据安全</w:t>
            </w:r>
          </w:p>
        </w:tc>
        <w:tc>
          <w:tcPr>
            <w:tcW w:type="dxa" w:w="567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账号权限、排班配置、服务配置、数据审计</w:t>
            </w:r>
          </w:p>
        </w:tc>
      </w:tr>
    </w:tbl>
    <w:p>
      <w:pPr>
        <w:spacing w:after="40"/>
      </w:pPr>
    </w:p>
    <w:p>
      <w:pPr>
        <w:pStyle w:val="Heading2"/>
      </w:pPr>
      <w:r>
        <w:t>1.4 产品边界</w:t>
      </w: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本期包含：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用户端：登录注册、AI 牙周健康初诊、AI 报告、预约就诊、可穿戴设备改期辅助、就诊中舒缓服务、检查后随访、智能刷牙监测、生活习惯记录、依从性评分、社交情感支持。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医院端：医生电脑端、护士电脑端、医生手机端，支持预约管理、患者管理、AI 辅助诊断、复诊随访和康复数据查看。</w:t>
      </w: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本期不包含：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在线处方、药品交易、医保/商保支付结算。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急诊分诊或紧急医疗救援。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完整 HIS/EMR 深度双向改造，仅预留接口。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AI 自动给出最终诊断结论，所有诊断和治疗建议需医生确认。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生理周期、基础体温、妊娠状态等仅作为用户自填或授权数据下的预约与健康管理辅助，不作为妇科诊断依据。</w:t>
      </w:r>
    </w:p>
    <w:p>
      <w:pPr>
        <w:pStyle w:val="Heading1"/>
      </w:pPr>
      <w:r>
        <w:t>2. 用户旅程</w:t>
      </w:r>
    </w:p>
    <w:p>
      <w:pPr>
        <w:pStyle w:val="Heading2"/>
      </w:pPr>
      <w:r>
        <w:t>2.1 总流程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E6E6E6"/>
          <w:left w:val="single" w:sz="4" w:space="0" w:color="E6E6E6"/>
          <w:bottom w:val="single" w:sz="4" w:space="0" w:color="E6E6E6"/>
          <w:right w:val="single" w:sz="4" w:space="0" w:color="E6E6E6"/>
          <w:insideH w:val="single" w:sz="4" w:space="0" w:color="E6E6E6"/>
          <w:insideV w:val="single" w:sz="4" w:space="0" w:color="E6E6E6"/>
        </w:tblBorders>
        <w:tblInd w:type="dxa" w:w="120"/>
      </w:tblPr>
      <w:tblGrid>
        <w:gridCol w:w="9360"/>
      </w:tblGrid>
      <w:t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shd w:fill="FAFAFA"/>
          </w:tcPr>
          <w:p>
            <w:pPr>
              <w:spacing w:line="252" w:lineRule="auto"/>
            </w:pPr>
            <w:r/>
            <w:r>
              <w:rPr>
                <w:rFonts w:ascii="Courier New" w:hAnsi="Courier New" w:eastAsia="Microsoft YaHei"/>
                <w:color w:val="333333"/>
                <w:sz w:val="17"/>
              </w:rPr>
              <w:t>flowchart LR</w:t>
            </w:r>
            <w:r>
              <w:br/>
            </w:r>
            <w:r>
              <w:rPr>
                <w:rFonts w:ascii="Courier New" w:hAnsi="Courier New" w:eastAsia="Microsoft YaHei"/>
                <w:color w:val="333333"/>
                <w:sz w:val="17"/>
              </w:rPr>
              <w:t xml:space="preserve">  A["检查前：注册/授权登录"] --&gt; B["AI 牙周健康初诊"]</w:t>
            </w:r>
            <w:r>
              <w:br/>
            </w:r>
            <w:r>
              <w:rPr>
                <w:rFonts w:ascii="Courier New" w:hAnsi="Courier New" w:eastAsia="Microsoft YaHei"/>
                <w:color w:val="333333"/>
                <w:sz w:val="17"/>
              </w:rPr>
              <w:t xml:space="preserve">  B --&gt; C["AI 分析报告与就诊建议"]</w:t>
            </w:r>
            <w:r>
              <w:br/>
            </w:r>
            <w:r>
              <w:rPr>
                <w:rFonts w:ascii="Courier New" w:hAnsi="Courier New" w:eastAsia="Microsoft YaHei"/>
                <w:color w:val="333333"/>
                <w:sz w:val="17"/>
              </w:rPr>
              <w:t xml:space="preserve">  C --&gt; D["预约就诊/可穿戴数据辅助改期"]</w:t>
            </w:r>
            <w:r>
              <w:br/>
            </w:r>
            <w:r>
              <w:rPr>
                <w:rFonts w:ascii="Courier New" w:hAnsi="Courier New" w:eastAsia="Microsoft YaHei"/>
                <w:color w:val="333333"/>
                <w:sz w:val="17"/>
              </w:rPr>
              <w:t xml:space="preserve">  D --&gt; E["就诊中：医护查看资料与执行服务"]</w:t>
            </w:r>
            <w:r>
              <w:br/>
            </w:r>
            <w:r>
              <w:rPr>
                <w:rFonts w:ascii="Courier New" w:hAnsi="Courier New" w:eastAsia="Microsoft YaHei"/>
                <w:color w:val="333333"/>
                <w:sz w:val="17"/>
              </w:rPr>
              <w:t xml:space="preserve">  E --&gt; F["检查后：随访任务与复诊管理"]</w:t>
            </w:r>
            <w:r>
              <w:br/>
            </w:r>
            <w:r>
              <w:rPr>
                <w:rFonts w:ascii="Courier New" w:hAnsi="Courier New" w:eastAsia="Microsoft YaHei"/>
                <w:color w:val="333333"/>
                <w:sz w:val="17"/>
              </w:rPr>
              <w:t xml:space="preserve">  F --&gt; G["智能刷牙/生活习惯/依从性评分"]</w:t>
            </w:r>
            <w:r>
              <w:br/>
            </w:r>
            <w:r>
              <w:rPr>
                <w:rFonts w:ascii="Courier New" w:hAnsi="Courier New" w:eastAsia="Microsoft YaHei"/>
                <w:color w:val="333333"/>
                <w:sz w:val="17"/>
              </w:rPr>
              <w:t xml:space="preserve">  G --&gt; H["医生端异常干预"]</w:t>
            </w:r>
            <w:r>
              <w:br/>
            </w:r>
            <w:r>
              <w:rPr>
                <w:rFonts w:ascii="Courier New" w:hAnsi="Courier New" w:eastAsia="Microsoft YaHei"/>
                <w:color w:val="333333"/>
                <w:sz w:val="17"/>
              </w:rPr>
              <w:t xml:space="preserve">  G --&gt; I["社交情感支持与康复社区"]</w:t>
            </w:r>
          </w:p>
        </w:tc>
      </w:tr>
    </w:tbl>
    <w:p>
      <w:pPr>
        <w:spacing w:after="40"/>
      </w:pPr>
    </w:p>
    <w:p>
      <w:pPr>
        <w:pStyle w:val="Heading2"/>
      </w:pPr>
      <w:r>
        <w:t>2.2 检查前阶段</w:t>
      </w:r>
    </w:p>
    <w:p>
      <w:r>
        <w:rPr>
          <w:rFonts w:ascii="Calibri" w:hAnsi="Calibri" w:eastAsia="Microsoft YaHei"/>
          <w:sz w:val="22"/>
        </w:rPr>
        <w:t>用户从欢迎页进入，支持手机号、微信、Apple、支付宝登录。登录后进入“牙龈守护”主界面，可选择患者端或医生端。患者端核心路径为 AI 牙周健康初诊：拍摄或上传口腔照片，系统进行图片质量校验和 AI 分析，输出健康评分、风险项、口腔健康色谱图、牙齿状态图、健康建议，并引导用户预约科室、日期、时段和医生。</w:t>
      </w:r>
    </w:p>
    <w:p>
      <w:r>
        <w:rPr>
          <w:rFonts w:ascii="Calibri" w:hAnsi="Calibri" w:eastAsia="Microsoft YaHei"/>
          <w:sz w:val="22"/>
        </w:rPr>
        <w:t>检查前还包含 AI 口腔助手和就诊中舒缓服务预选。舒缓服务根据问答结果推荐香薰、音乐、色彩/艺术等安抚方案，用户可接受 AI 推荐或手动选择。</w:t>
      </w:r>
    </w:p>
    <w:p>
      <w:pPr>
        <w:pStyle w:val="Heading2"/>
      </w:pPr>
      <w:r>
        <w:t>2.3 就诊中阶段</w:t>
      </w:r>
    </w:p>
    <w:p>
      <w:r>
        <w:rPr>
          <w:rFonts w:ascii="Calibri" w:hAnsi="Calibri" w:eastAsia="Microsoft YaHei"/>
          <w:sz w:val="22"/>
        </w:rPr>
        <w:t>医院端医生工作台接收用户预约、AI 初筛报告和病情材料。医生可查看患者基础信息、影像/照片、AI 标记、风险项、就诊建议，并进行复核。护士端用于承接就诊中服务任务，如舒缓服务准备、执行状态和完成记录。</w:t>
      </w:r>
    </w:p>
    <w:p>
      <w:r>
        <w:rPr>
          <w:rFonts w:ascii="Calibri" w:hAnsi="Calibri" w:eastAsia="Microsoft YaHei"/>
          <w:sz w:val="22"/>
        </w:rPr>
        <w:t>医生手机端用于移动场景下快速查看当日任务、患者详情、异常提醒和康复数据。</w:t>
      </w:r>
    </w:p>
    <w:p>
      <w:pPr>
        <w:pStyle w:val="Heading2"/>
      </w:pPr>
      <w:r>
        <w:t>2.4 检查后阶段</w:t>
      </w:r>
    </w:p>
    <w:p>
      <w:r>
        <w:rPr>
          <w:rFonts w:ascii="Calibri" w:hAnsi="Calibri" w:eastAsia="Microsoft YaHei"/>
          <w:sz w:val="22"/>
        </w:rPr>
        <w:t>用户进入“就诊后随访”首页，看到下次复诊时间、今日任务和健康进展。主要任务包括 AI 语音问诊、智能刷牙监测、生活习惯记录。系统根据任务完成度、生活方式数据、经期/妊娠等用户授权信息生成依从性评分和牙周出血风险趋势，并在异常时提醒用户或同步给医生。</w:t>
      </w:r>
    </w:p>
    <w:p>
      <w:r>
        <w:rPr>
          <w:rFonts w:ascii="Calibri" w:hAnsi="Calibri" w:eastAsia="Microsoft YaHei"/>
          <w:sz w:val="22"/>
        </w:rPr>
        <w:t>用户可发起预约更改，选择改期原因；若已授权智能手表或健康 App 数据，系统可参考经期预测、基础体温趋势、睡眠/压力等信息提示用户是否需要调整牙龈刮治/洁治时间，并推荐医生可用时段，提交后进入医生审核。用户也可上传病情报告并设置隐私授权，系统匹配相似经历的病友，进入康复社区获取情绪支持。</w:t>
      </w:r>
    </w:p>
    <w:p>
      <w:pPr>
        <w:pStyle w:val="Heading1"/>
      </w:pPr>
      <w:r>
        <w:t>3. 功能需求</w:t>
      </w:r>
    </w:p>
    <w:p>
      <w:pPr>
        <w:pStyle w:val="Heading2"/>
      </w:pPr>
      <w:r>
        <w:t>3.1 账号与授权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手机号登录/注册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支持手机号+密码、手机号+验证码登录；注册需设置密码并勾选用户协议和隐私政策。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第三方授权登录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支持微信、Apple、支付宝授权登录；展示授权范围，包括头像昵称、手机号或身份验证信息。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身份入口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登录后可进入患者端；医生、护士、管理员角色需通过后台开通权限。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协议与隐私确认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首次登录、上传健康数据、进入社交匹配前必须完成单独授权。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验收标准：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未勾选协议时注册/授权按钮不可用。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第三方登录失败时提示失败原因，并支持回到手机号登录。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同一手机号绑定多个授权方式时合并为同一账户。</w:t>
      </w:r>
    </w:p>
    <w:p>
      <w:pPr>
        <w:pStyle w:val="Heading2"/>
      </w:pPr>
      <w:r>
        <w:t>3.2 AI 牙周健康初诊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B01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拍摄/上传口腔照片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用户可调用相机或从相册上传照片；页面展示拍摄指引和示意框。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B02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图片质量校验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校验清晰度、光线、遮挡、牙齿完整度、文件格式和大小；不合格需引导重拍。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B03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识别进度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上传成功后进入识别中状态，展示当前步骤，如图像预处理、AI 模型分析、报告生成。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B04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分析报告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输出综合评分、整体状态、分项指标、牙齿状态图、风险提示和健康建议。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B05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医疗安全提示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明确说明 AI 报告仅作健康管理和就诊参考，不作为最终诊断。高风险结果引导尽快就诊。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B06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口腔助手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报告后可进入问答，支持围绕牙龈出血、刷牙、牙线、预约等问题咨询。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B07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病灶识别与纠偏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标注红肿、出血倾向、牙石/菌斑可疑区域；照片角度或光线不足时给出具体重拍提示。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B08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循证依据展示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结论旁展示对应依据类型，如医生复核、临床指南、权威论文或医院规则库，不绑定单一期刊。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报告字段建议：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614"/>
        <w:gridCol w:w="7746"/>
      </w:tblGrid>
      <w:tr>
        <w:tc>
          <w:tcPr>
            <w:tcW w:type="dxa" w:w="161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字段</w:t>
            </w:r>
          </w:p>
        </w:tc>
        <w:tc>
          <w:tcPr>
            <w:tcW w:type="dxa" w:w="7746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说明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综合评分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0-100 分，展示良好/需关注/高风险等等级。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牙龈健康度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识别牙龈颜色、红肿、出血倾向等风险。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清洁度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识别牙菌斑、软垢、牙石可疑区域。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口腔健康色谱图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将专业指标转译为用户可理解的颜色分区，如健康、轻度关注、中度风险、高风险。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牙齿状态图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用牙位图标记健康、可疑、需关注区域。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健康建议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刷牙、牙线、饮食、复查和预约建议。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就诊建议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推荐科室和紧急程度。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异常规则：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图片质量不达标：阻断 AI 分析，提示重拍。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难拍牙位或边缘区域不可识别：在照片上标出问题区域，提示用户调整角度、补光或重新对焦。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AI 分析失败：允许重新提交；连续失败后提示联系客服或人工咨询。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识别到高风险：报告页展示醒目提醒，并推荐优先预约牙周科。</w:t>
      </w:r>
    </w:p>
    <w:p>
      <w:pPr>
        <w:pStyle w:val="Heading2"/>
      </w:pPr>
      <w:r>
        <w:t>3.3 预约就诊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C01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科室选择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支持牙周科、口腔综合科等科室；默认根据 AI 报告推荐科室。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C02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日期与时间选择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展示可预约日期和时段；不可用时段置灰。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C03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医生选择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展示医生姓名、职称、擅长方向、可预约状态。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C04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个人信息填写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用户需填写姓名、手机号、主诉或备注。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C05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预约确认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提交后生成预约单，展示预约状态和提醒。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C06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助手引导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当用户犹豫或有疑问时，AI 助手可解释科室选择和预约注意事项。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预约状态：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614"/>
        <w:gridCol w:w="7746"/>
      </w:tblGrid>
      <w:tr>
        <w:tc>
          <w:tcPr>
            <w:tcW w:type="dxa" w:w="161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状态</w:t>
            </w:r>
          </w:p>
        </w:tc>
        <w:tc>
          <w:tcPr>
            <w:tcW w:type="dxa" w:w="7746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说明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待确认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用户提交，医院端未确认。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已确认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医院端确认，用户收到通知。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待改期审核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用户发起改期，等待医生/医院确认。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改期成功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新时段确认，原预约释放。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改期拒绝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医生/医院拒绝，保留原预约或引导重新选择。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已取消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用户或医院取消。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已完成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就诊完成并进入随访阶段。</w:t>
            </w:r>
          </w:p>
        </w:tc>
      </w:tr>
    </w:tbl>
    <w:p>
      <w:pPr>
        <w:spacing w:after="40"/>
      </w:pPr>
    </w:p>
    <w:p>
      <w:pPr>
        <w:pStyle w:val="Heading2"/>
      </w:pPr>
      <w:r>
        <w:t>3.4 就诊中舒缓服务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D01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服务介绍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展示艺术疗愈、香薰、音乐、色彩等服务内容和适用场景。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D02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智能选香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通过问答了解情绪、偏好和症状，推荐香薰方案；支持手动选择精油。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D03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智能选曲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通过问答推荐自然声、冥想音乐、古典钢琴等音乐方案；支持手动选择。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D04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智能选画/色彩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P2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根据用户偏好推荐色彩疗愈或艺术图像；支持手动选择。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D05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服务确认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展示已选服务项目、准备状态和完成按钮。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业务规则：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舒缓服务为辅助体验，不作为医疗治疗。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用户可跳过服务，不影响预约和就诊。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若涉及过敏风险，如香薰/精油，需展示禁忌和确认项。</w:t>
      </w:r>
    </w:p>
    <w:p>
      <w:pPr>
        <w:pStyle w:val="Heading2"/>
      </w:pPr>
      <w:r>
        <w:t>3.5 医生电脑端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E01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工作台概览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展示待处理预约、待审核改期、高风险患者、随访异常、今日任务等统计。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E02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预约管理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支持按日期/医生/科室查看预约列表，处理确认、拒绝、改期审核。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E03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患者详情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查看患者基础信息、主诉、AI 初筛报告、上传材料、预约记录、随访记录。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E04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辅助诊断视图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展示口腔照片/影像、AI 标记点、风险分类、分项指标和建议，医生可复核。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E05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医生结论与医嘱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医生可填写诊断意见、处理建议、复诊计划和注意事项。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E06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复诊问诊管理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查看 AI 语音问诊摘要、异常标签、患者回答和风险等级，并进行处理。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E07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康复数据看板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查看智能刷牙报告、生活习惯、依从性评分、趋势和异常提醒。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E08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患者沟通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支持发送提醒、复诊建议、补充说明；重要消息需记录发送时间和阅读状态。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医生端审核规则：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AI 结果默认标记为“待医生复核”，医生确认后才进入病历或医嘱。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医生修改 AI 建议时，系统记录修改前后内容、操作人和时间。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高风险随访异常需进入待办列表，直到医生关闭或转诊处理。</w:t>
      </w:r>
    </w:p>
    <w:p>
      <w:pPr>
        <w:pStyle w:val="Heading2"/>
      </w:pPr>
      <w:r>
        <w:t>3.6 护士电脑端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F01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护士工作台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展示今日服务任务、待执行、执行中、已完成、异常任务。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F02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服务任务卡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查看患者、预约时间、服务类型、准备物料、注意事项。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F03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服务执行记录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记录开始、完成、跳过、异常原因；同步给医生端和患者端。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F04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护理提醒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对禁忌、过敏、情绪异常或医生特殊备注进行提醒。</w:t>
            </w:r>
          </w:p>
        </w:tc>
      </w:tr>
    </w:tbl>
    <w:p>
      <w:pPr>
        <w:spacing w:after="40"/>
      </w:pPr>
    </w:p>
    <w:p>
      <w:pPr>
        <w:pStyle w:val="Heading2"/>
      </w:pPr>
      <w:r>
        <w:t>3.7 医生手机端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G01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移动工作台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展示今日预约、待处理改期、异常随访、高风险患者。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G02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患者列表与详情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支持按姓名、状态、风险等级搜索和筛选患者。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G03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快速处理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支持查看报告、确认改期、发送提醒、标记已处理。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G04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康复趋势查看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查看患者依从性、刷牙和生活习惯趋势图。</w:t>
            </w:r>
          </w:p>
        </w:tc>
      </w:tr>
    </w:tbl>
    <w:p>
      <w:pPr>
        <w:spacing w:after="40"/>
      </w:pPr>
    </w:p>
    <w:p>
      <w:pPr>
        <w:pStyle w:val="Heading2"/>
      </w:pPr>
      <w:r>
        <w:t>3.8 检查后随访首页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H01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随访首页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展示问候语、下次复诊时间、今日任务、依从性评分入口、情绪支持入口。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H02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今日任务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包含 AI 语音问诊、智能刷牙监测、生活习惯记录；展示任务状态和提醒。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H03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重要提醒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针对按时用药、复诊、异常症状、刷牙不足展示提醒。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H04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阶段导航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底部支持就诊前、就诊中、就诊后三个阶段切换。</w:t>
            </w:r>
          </w:p>
        </w:tc>
      </w:tr>
    </w:tbl>
    <w:p>
      <w:pPr>
        <w:spacing w:after="40"/>
      </w:pPr>
    </w:p>
    <w:p>
      <w:pPr>
        <w:pStyle w:val="Heading2"/>
      </w:pPr>
      <w:r>
        <w:t>3.9 预约更改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I01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改期入口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在随访首页和预约卡片中提供“申请预约更改”。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I02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改期原因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支持例假突然提前、意外怀孕、身体不适、幼儿园接孩子、送老人、其他原因。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I03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推荐时间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根据医生排班、原预约时间、用户原因和可用时段推荐候选时间。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I04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医生可用时间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展示医生可用日期和时间段，用户选择后提交。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I05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改期确认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展示原时间、新时间、原因和提示，提交后进入审核。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I06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可穿戴设备辅助改期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用户授权后读取智能手表/健康 App 的经期预测、基础体温趋势、睡眠/压力等摘要数据，用于提醒可能的牙龈刮治/洁治冲突，并辅助推荐改期时段。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规则：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距离就诊不足医院配置的最短改期时间时，提示需联系医院人工处理。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同一预约在限定周期内可设置最大改期次数。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医生拒绝后需给出原因，用户端展示并保留原预约。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可穿戴数据只作为用户自我管理和预约辅助，不自动改期；所有改期均需用户提交并由医生/医院确认。</w:t>
      </w:r>
    </w:p>
    <w:p>
      <w:pPr>
        <w:pStyle w:val="Heading2"/>
      </w:pPr>
      <w:r>
        <w:t>3.10 AI 语音问诊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J01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问诊进度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展示当前问题进度，如 3/4。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J02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语音回答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用户点击麦克风开始回答，支持语音转文本。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J03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快速回答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对封闭问题提供“是/否”等快捷选项。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J04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摘要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系统生成问诊摘要、症状变化和风险标签，同步医生端。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J05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异常升级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若出现持续出血、明显肿胀、剧烈疼痛、发热等异常，提醒用户联系医生并进入医生待办。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安全要求：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AI 不直接给出诊断或处方。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高风险问诊结果需明确提示“请及时联系医生/医院”。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原始音频、转写文本、AI 摘要需可追溯。</w:t>
      </w:r>
    </w:p>
    <w:p>
      <w:pPr>
        <w:pStyle w:val="Heading2"/>
      </w:pPr>
      <w:r>
        <w:t>3.11 智能刷牙监测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K01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设备连接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展示智能牙刷连接状态、电量、设备名称。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K02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刷牙记录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展示今日刷牙次数、每次时长、完成度和清洁度。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K03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实时/结果图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用牙位图展示各区域清洁情况，标记不足区域。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K04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刷牙报告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输出刷牙完成度、时长、清洁度、各区域百分比和补刷建议。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K05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上传医生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用户可将刷牙报告上传给医生；上传后医生端可见。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指标建议：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刷牙时长：目标 2-3 分钟。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覆盖区域：上颌前牙、上颌左侧、上颌右侧、下颌前牙、下颌左侧、下颌右侧。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清洁评分：0-100 分，低于阈值时触发补刷建议。</w:t>
      </w:r>
    </w:p>
    <w:p>
      <w:pPr>
        <w:pStyle w:val="Heading2"/>
      </w:pPr>
      <w:r>
        <w:t>3.12 生活习惯记录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L01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糖分摄入记录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用户可拍摄食物记录，系统估算糖分摄入；也支持手动输入。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L02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口腔护理习惯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记录刷牙次数、牙线使用、漱口等习惯完成情况。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L03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健康影响因素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记录吸烟、心情状态、按时服药、例假前后、妊娠/备孕状态、激素相关自填信息等影响因素。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L04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健康预测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根据近期饮食、VC 摄入、牙线次数、智能牙刷清洁度、吸烟、情绪、用药和生理周期等数据评估牙周出血风险，并给出低风险替代建议。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L05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日记录提交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用户可提交今日记录，形成时间线。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L06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生活方式数据接口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P2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预留 API 接口，将食物识别、智能牙刷、可穿戴设备和用户自填数据结构化接入康复看板。</w:t>
            </w:r>
          </w:p>
        </w:tc>
      </w:tr>
    </w:tbl>
    <w:p>
      <w:pPr>
        <w:spacing w:after="40"/>
      </w:pPr>
    </w:p>
    <w:p>
      <w:pPr>
        <w:pStyle w:val="Heading2"/>
      </w:pPr>
      <w:r>
        <w:t>3.13 依从性评分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M01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综合评分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根据用药、刷牙、牙线、维 C/饮食、复诊等任务计算 0-100 分。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M02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分项指标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展示每个指标的完成次数、目标次数和完成率。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M03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周趋势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展示近 7 天评分变化和提升幅度。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M04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需要改进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自动识别维 C 摄入不足、牙线频率低、坚持天数不足等问题。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M05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激励反馈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连续达标时给出正向反馈和徽章。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评分计算建议：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5349"/>
        <w:gridCol w:w="4011"/>
      </w:tblGrid>
      <w:tr>
        <w:tc>
          <w:tcPr>
            <w:tcW w:type="dxa" w:w="5349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指标</w:t>
            </w:r>
          </w:p>
        </w:tc>
        <w:tc>
          <w:tcPr>
            <w:tcW w:type="dxa" w:w="401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权重</w:t>
            </w:r>
          </w:p>
        </w:tc>
      </w:tr>
      <w:tr>
        <w:tc>
          <w:tcPr>
            <w:tcW w:type="dxa" w:w="534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按时服药</w:t>
            </w:r>
          </w:p>
        </w:tc>
        <w:tc>
          <w:tcPr>
            <w:tcW w:type="dxa" w:w="401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30%</w:t>
            </w:r>
          </w:p>
        </w:tc>
      </w:tr>
      <w:tr>
        <w:tc>
          <w:tcPr>
            <w:tcW w:type="dxa" w:w="534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正确刷牙</w:t>
            </w:r>
          </w:p>
        </w:tc>
        <w:tc>
          <w:tcPr>
            <w:tcW w:type="dxa" w:w="401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30%</w:t>
            </w:r>
          </w:p>
        </w:tc>
      </w:tr>
      <w:tr>
        <w:tc>
          <w:tcPr>
            <w:tcW w:type="dxa" w:w="534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牙线/漱口</w:t>
            </w:r>
          </w:p>
        </w:tc>
        <w:tc>
          <w:tcPr>
            <w:tcW w:type="dxa" w:w="401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15%</w:t>
            </w:r>
          </w:p>
        </w:tc>
      </w:tr>
      <w:tr>
        <w:tc>
          <w:tcPr>
            <w:tcW w:type="dxa" w:w="534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饮食与糖分控制</w:t>
            </w:r>
          </w:p>
        </w:tc>
        <w:tc>
          <w:tcPr>
            <w:tcW w:type="dxa" w:w="401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15%</w:t>
            </w:r>
          </w:p>
        </w:tc>
      </w:tr>
      <w:tr>
        <w:tc>
          <w:tcPr>
            <w:tcW w:type="dxa" w:w="534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复诊/问诊完成</w:t>
            </w:r>
          </w:p>
        </w:tc>
        <w:tc>
          <w:tcPr>
            <w:tcW w:type="dxa" w:w="401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10%</w:t>
            </w:r>
          </w:p>
        </w:tc>
      </w:tr>
    </w:tbl>
    <w:p>
      <w:pPr>
        <w:spacing w:after="40"/>
      </w:pPr>
    </w:p>
    <w:p>
      <w:r>
        <w:rPr>
          <w:rFonts w:ascii="Calibri" w:hAnsi="Calibri" w:eastAsia="Microsoft YaHei"/>
          <w:sz w:val="22"/>
        </w:rPr>
        <w:t>权重需由医生或医院管理员配置，默认值仅作为产品初始方案。</w:t>
      </w:r>
    </w:p>
    <w:p>
      <w:pPr>
        <w:pStyle w:val="Heading2"/>
      </w:pPr>
      <w:r>
        <w:t>3.14 社交情感支持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N01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功能介绍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说明通过匿名病情信息匹配相似经历的人，获取支持和经验交流。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N02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病情报告上传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支持相册选择、拍摄、使用已有报告；展示报告包含信息和上传提示。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N03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隐私权限设置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用户选择共享范围，如基本信息、病情严重度、治疗方案、康复进度、口腔照片。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N04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智能匹配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根据病情、治疗方案、康复阶段、年龄段等匹配相似用户。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N05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匹配结果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展示匹配人数、匹配度、病情阶段、在线状态和简要资料。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N06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康复社区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支持浏览相似病友动态、康复故事、点赞、评论、分享。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社区规则：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默认匿名展示，用户可修改昵称和头像。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不允许发布诊断结论、处方替代、攻击性内容和隐私泄露内容。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医疗建议类内容需提示“仅供经验交流，具体治疗请遵医嘱”。</w:t>
      </w:r>
    </w:p>
    <w:p>
      <w:pPr>
        <w:pStyle w:val="Heading2"/>
      </w:pPr>
      <w:r>
        <w:t>3.15 AI 专项需求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51"/>
        <w:gridCol w:w="1534"/>
        <w:gridCol w:w="1151"/>
        <w:gridCol w:w="5524"/>
      </w:tblGrid>
      <w:tr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编号</w:t>
            </w:r>
          </w:p>
        </w:tc>
        <w:tc>
          <w:tcPr>
            <w:tcW w:type="dxa" w:w="153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能力</w:t>
            </w:r>
          </w:p>
        </w:tc>
        <w:tc>
          <w:tcPr>
            <w:tcW w:type="dxa" w:w="11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优先级</w:t>
            </w:r>
          </w:p>
        </w:tc>
        <w:tc>
          <w:tcPr>
            <w:tcW w:type="dxa" w:w="552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需求说明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AI01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图片质量检测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对光线、清晰度、对焦、遮挡、拍摄角度、口腔区域完整度进行自动检测，并给出可操作反馈。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AI02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牙周病灶识别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识别牙龈红肿、出血倾向、牙石/菌斑可疑区域、牙龈边缘异常等，输出位置标注和风险等级。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AI03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结构化报告生成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将识别结果转换为评分、色谱图、牙位图、风险标签、建议和预约推荐。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AI04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语音预问诊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P0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根据随访模板生成问题，采集语音并转写，形成主诉摘要、症状变化和异常标签。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AI05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生活方式风险预测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基于糖分/VC 摄入、清洁度、牙线次数、吸烟、心情、用药、经期/妊娠等因素预测牙周出血风险趋势。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AI06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循证依据与可解释性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重要结论需展示依据类型、置信度或触发规则；医生端可查看 AI 标注来源和模型版本。</w:t>
            </w:r>
          </w:p>
        </w:tc>
      </w:tr>
      <w:tr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AI07</w:t>
            </w:r>
          </w:p>
        </w:tc>
        <w:tc>
          <w:tcPr>
            <w:tcW w:type="dxa" w:w="153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医生反馈闭环</w:t>
            </w:r>
          </w:p>
        </w:tc>
        <w:tc>
          <w:tcPr>
            <w:tcW w:type="dxa" w:w="11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P1</w:t>
            </w:r>
          </w:p>
        </w:tc>
        <w:tc>
          <w:tcPr>
            <w:tcW w:type="dxa" w:w="552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医生可对 AI 标注进行确认、修改、驳回；反馈用于质控和后续模型优化。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模型表现基准：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418"/>
        <w:gridCol w:w="2836"/>
        <w:gridCol w:w="5106"/>
      </w:tblGrid>
      <w:tr>
        <w:tc>
          <w:tcPr>
            <w:tcW w:type="dxa" w:w="1418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指标</w:t>
            </w:r>
          </w:p>
        </w:tc>
        <w:tc>
          <w:tcPr>
            <w:tcW w:type="dxa" w:w="2836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MVP 目标</w:t>
            </w:r>
          </w:p>
        </w:tc>
        <w:tc>
          <w:tcPr>
            <w:tcW w:type="dxa" w:w="5106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说明</w:t>
            </w:r>
          </w:p>
        </w:tc>
      </w:tr>
      <w:tr>
        <w:tc>
          <w:tcPr>
            <w:tcW w:type="dxa" w:w="141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图片质量检测准确率</w:t>
            </w:r>
          </w:p>
        </w:tc>
        <w:tc>
          <w:tcPr>
            <w:tcW w:type="dxa" w:w="283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&gt;= 95%</w:t>
            </w:r>
          </w:p>
        </w:tc>
        <w:tc>
          <w:tcPr>
            <w:tcW w:type="dxa" w:w="510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用于阻断低质量照片，减少无效分析。</w:t>
            </w:r>
          </w:p>
        </w:tc>
      </w:tr>
      <w:tr>
        <w:tc>
          <w:tcPr>
            <w:tcW w:type="dxa" w:w="141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重度牙石/明显菌斑识别准确率</w:t>
            </w:r>
          </w:p>
        </w:tc>
        <w:tc>
          <w:tcPr>
            <w:tcW w:type="dxa" w:w="283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&gt;= 90%</w:t>
            </w:r>
          </w:p>
        </w:tc>
        <w:tc>
          <w:tcPr>
            <w:tcW w:type="dxa" w:w="510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需基于标注验证集确认，作为上线前验收口径。</w:t>
            </w:r>
          </w:p>
        </w:tc>
      </w:tr>
      <w:tr>
        <w:tc>
          <w:tcPr>
            <w:tcW w:type="dxa" w:w="141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中高风险牙龈红肿召回率</w:t>
            </w:r>
          </w:p>
        </w:tc>
        <w:tc>
          <w:tcPr>
            <w:tcW w:type="dxa" w:w="283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&gt;= 85%</w:t>
            </w:r>
          </w:p>
        </w:tc>
        <w:tc>
          <w:tcPr>
            <w:tcW w:type="dxa" w:w="510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优先减少漏报，高风险需触发医生复核。</w:t>
            </w:r>
          </w:p>
        </w:tc>
      </w:tr>
      <w:tr>
        <w:tc>
          <w:tcPr>
            <w:tcW w:type="dxa" w:w="141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报告生成成功率</w:t>
            </w:r>
          </w:p>
        </w:tc>
        <w:tc>
          <w:tcPr>
            <w:tcW w:type="dxa" w:w="283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&gt;= 95%</w:t>
            </w:r>
          </w:p>
        </w:tc>
        <w:tc>
          <w:tcPr>
            <w:tcW w:type="dxa" w:w="510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不含用户主动取消、网络中断等非系统原因。</w:t>
            </w:r>
          </w:p>
        </w:tc>
      </w:tr>
      <w:tr>
        <w:tc>
          <w:tcPr>
            <w:tcW w:type="dxa" w:w="141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语音转写可用率</w:t>
            </w:r>
          </w:p>
        </w:tc>
        <w:tc>
          <w:tcPr>
            <w:tcW w:type="dxa" w:w="283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&gt;= 95%</w:t>
            </w:r>
          </w:p>
        </w:tc>
        <w:tc>
          <w:tcPr>
            <w:tcW w:type="dxa" w:w="510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以普通话为 MVP；方言和噪声场景作为后续优化。</w:t>
            </w:r>
          </w:p>
        </w:tc>
      </w:tr>
      <w:tr>
        <w:tc>
          <w:tcPr>
            <w:tcW w:type="dxa" w:w="1418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医生复核一致率</w:t>
            </w:r>
          </w:p>
        </w:tc>
        <w:tc>
          <w:tcPr>
            <w:tcW w:type="dxa" w:w="283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试运行期持续观察</w:t>
            </w:r>
          </w:p>
        </w:tc>
        <w:tc>
          <w:tcPr>
            <w:tcW w:type="dxa" w:w="510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不作为首版硬性门槛，用于迭代模型和规则。</w:t>
            </w:r>
          </w:p>
        </w:tc>
      </w:tr>
    </w:tbl>
    <w:p>
      <w:pPr>
        <w:spacing w:after="40"/>
      </w:pPr>
    </w:p>
    <w:p>
      <w:pPr>
        <w:spacing w:after="60"/>
      </w:pPr>
      <w:r>
        <w:rPr>
          <w:rFonts w:ascii="Calibri" w:hAnsi="Calibri" w:eastAsia="Microsoft YaHei"/>
          <w:b/>
          <w:color w:val="1F4D78"/>
          <w:sz w:val="21"/>
        </w:rPr>
        <w:t>AI 安全边界：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AI 结果为健康管理和医生辅助信息，不向用户输出最终诊断、治疗方案或处方。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高风险结论必须进入医生端待复核列表，用户端仅展示“建议尽快就诊/联系医生”。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模型版本、训练/验证数据集版本、规则库版本和医生复核记录需可追溯。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生活方式风险预测只输出风险趋势和行为建议，不输出确定性疾病结论。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涉及妊娠、激素、经期、基础体温等信息时，仅作为预约和随访管理参考，不作妇科或内分泌诊断。</w:t>
      </w:r>
    </w:p>
    <w:p>
      <w:pPr>
        <w:pStyle w:val="Heading1"/>
      </w:pPr>
      <w:r>
        <w:t>4. 数据需求</w:t>
      </w:r>
    </w:p>
    <w:p>
      <w:pPr>
        <w:pStyle w:val="Heading2"/>
      </w:pPr>
      <w:r>
        <w:t>4.1 核心数据对象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2035"/>
        <w:gridCol w:w="7325"/>
      </w:tblGrid>
      <w:tr>
        <w:tc>
          <w:tcPr>
            <w:tcW w:type="dxa" w:w="2035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对象</w:t>
            </w:r>
          </w:p>
        </w:tc>
        <w:tc>
          <w:tcPr>
            <w:tcW w:type="dxa" w:w="7325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关键字段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 User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user_id、手机号、登录方式、角色、协议版本、创建时间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患者档案 PatientProfile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patient_id、姓名、年龄、性别、联系方式、过敏/禁忌、主诉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初筛报告 AIReport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report_id、图片、质量校验结果、评分、风险标签、分项指标、建议、医生复核状态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预约 Appointment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appointment_id、科室、医生、日期、时段、状态、改期次数、来源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改期申请 RescheduleRequest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request_id、原时间、新时间、原因、AI 推荐、审核状态、审核人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随访任务 FollowupTask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task_id、类型、计划时间、完成状态、异常标记、关联报告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语音问诊 VoiceCheckin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checkin_id、问题、音频、转写文本、AI 摘要、风险等级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刷牙记录 BrushingRecord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record_id、设备、时长、清洁度、区域覆盖、报告链接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生活记录 LifestyleLog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log_id、糖分摄入、VC 摄入、刷牙/牙线、服药、吸烟、心情、备注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可穿戴摘要 WearableSignal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signal_id、授权范围、经期预测、基础体温趋势、睡眠/压力摘要、同步时间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依从性评分 ComplianceScore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score_id、总分、分项、趋势、建议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社交匹配 SocialMatch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match_id、共享字段、匹配度、匹配原因、授权状态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医护操作 AuditLog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operator_id、角色、操作对象、操作内容、时间、IP/设备</w:t>
            </w:r>
          </w:p>
        </w:tc>
      </w:tr>
    </w:tbl>
    <w:p>
      <w:pPr>
        <w:spacing w:after="40"/>
      </w:pPr>
    </w:p>
    <w:p>
      <w:pPr>
        <w:pStyle w:val="Heading2"/>
      </w:pPr>
      <w:r>
        <w:t>4.2 数据流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用户上传口腔照片，系统先做图片质量校验，再进入 AI 分析。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AI 报告生成后写入用户端，同时发送给医生端作为待复核材料。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用户预约或改期后，医生端/医院端接收待处理任务。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检查后随访任务由医生或系统计划生成，用户完成后同步结果。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智能刷牙、生活记录、可穿戴摘要和语音问诊进入康复数据看板，异常项生成医生待办。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社交匹配只使用用户主动授权的字段，且与医疗诊疗数据隔离存储。</w:t>
      </w:r>
    </w:p>
    <w:p>
      <w:pPr>
        <w:pStyle w:val="Heading1"/>
      </w:pPr>
      <w:r>
        <w:t>5. 权限与隐私</w:t>
      </w:r>
    </w:p>
    <w:p>
      <w:pPr>
        <w:pStyle w:val="Heading2"/>
      </w:pPr>
      <w:r>
        <w:t>5.1 权限矩阵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2753"/>
        <w:gridCol w:w="1652"/>
        <w:gridCol w:w="1652"/>
        <w:gridCol w:w="1652"/>
        <w:gridCol w:w="1651"/>
      </w:tblGrid>
      <w:tr>
        <w:tc>
          <w:tcPr>
            <w:tcW w:type="dxa" w:w="2753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功能/数据</w:t>
            </w:r>
          </w:p>
        </w:tc>
        <w:tc>
          <w:tcPr>
            <w:tcW w:type="dxa" w:w="1652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患者</w:t>
            </w:r>
          </w:p>
        </w:tc>
        <w:tc>
          <w:tcPr>
            <w:tcW w:type="dxa" w:w="1652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医生</w:t>
            </w:r>
          </w:p>
        </w:tc>
        <w:tc>
          <w:tcPr>
            <w:tcW w:type="dxa" w:w="1652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护士</w:t>
            </w:r>
          </w:p>
        </w:tc>
        <w:tc>
          <w:tcPr>
            <w:tcW w:type="dxa" w:w="165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管理员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查看本人 AI 报告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可查看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可查看负责患者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不可查看或脱敏查看</w:t>
            </w:r>
          </w:p>
        </w:tc>
        <w:tc>
          <w:tcPr>
            <w:tcW w:type="dxa" w:w="16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可审计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编辑医生结论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可编辑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</w:t>
            </w:r>
          </w:p>
        </w:tc>
        <w:tc>
          <w:tcPr>
            <w:tcW w:type="dxa" w:w="16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查看预约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本人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负责医生/科室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服务相关预约</w:t>
            </w:r>
          </w:p>
        </w:tc>
        <w:tc>
          <w:tcPr>
            <w:tcW w:type="dxa" w:w="16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全部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处理改期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发起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审核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</w:t>
            </w:r>
          </w:p>
        </w:tc>
        <w:tc>
          <w:tcPr>
            <w:tcW w:type="dxa" w:w="16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配置规则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查看随访异常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本人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负责患者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与护理任务相关</w:t>
            </w:r>
          </w:p>
        </w:tc>
        <w:tc>
          <w:tcPr>
            <w:tcW w:type="dxa" w:w="16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全部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可穿戴/生理周期摘要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自主授权/撤销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仅在患者授权且与预约/随访相关时查看摘要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不可查看</w:t>
            </w:r>
          </w:p>
        </w:tc>
        <w:tc>
          <w:tcPr>
            <w:tcW w:type="dxa" w:w="16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仅审计授权状态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社交匹配资料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自主授权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不可查看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不可查看</w:t>
            </w:r>
          </w:p>
        </w:tc>
        <w:tc>
          <w:tcPr>
            <w:tcW w:type="dxa" w:w="16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仅审计授权状态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系统配置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</w:t>
            </w:r>
          </w:p>
        </w:tc>
        <w:tc>
          <w:tcPr>
            <w:tcW w:type="dxa" w:w="1652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不可</w:t>
            </w:r>
          </w:p>
        </w:tc>
        <w:tc>
          <w:tcPr>
            <w:tcW w:type="dxa" w:w="165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可配置</w:t>
            </w:r>
          </w:p>
        </w:tc>
      </w:tr>
    </w:tbl>
    <w:p>
      <w:pPr>
        <w:spacing w:after="40"/>
      </w:pPr>
    </w:p>
    <w:p>
      <w:pPr>
        <w:pStyle w:val="Heading2"/>
      </w:pPr>
      <w:r>
        <w:t>5.2 隐私要求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健康数据上传、AI 分析、报告共享、社交匹配需分别授权。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可穿戴设备、生理周期、基础体温、妊娠/备孕等敏感信息需单独授权，默认关闭；医生端仅展示与预约和随访相关的摘要，不展示原始明细。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用户可撤销社交匹配授权；撤销后停止匹配并隐藏资料。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医护访问患者数据需基于医患关系或医院授权。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所有医生复核、改期审核、报告查看和消息发送需记录审计日志。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图片、音频、转写文本等敏感数据需加密存储和传输。</w:t>
      </w:r>
    </w:p>
    <w:p>
      <w:pPr>
        <w:pStyle w:val="Heading1"/>
      </w:pPr>
      <w:r>
        <w:t>6. 通知与提醒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235"/>
        <w:gridCol w:w="2196"/>
        <w:gridCol w:w="5929"/>
      </w:tblGrid>
      <w:tr>
        <w:tc>
          <w:tcPr>
            <w:tcW w:type="dxa" w:w="1235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场景</w:t>
            </w:r>
          </w:p>
        </w:tc>
        <w:tc>
          <w:tcPr>
            <w:tcW w:type="dxa" w:w="2196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触发对象</w:t>
            </w:r>
          </w:p>
        </w:tc>
        <w:tc>
          <w:tcPr>
            <w:tcW w:type="dxa" w:w="5929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通知内容</w:t>
            </w:r>
          </w:p>
        </w:tc>
      </w:tr>
      <w:tr>
        <w:tc>
          <w:tcPr>
            <w:tcW w:type="dxa" w:w="12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报告生成</w:t>
            </w:r>
          </w:p>
        </w:tc>
        <w:tc>
          <w:tcPr>
            <w:tcW w:type="dxa" w:w="219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</w:t>
            </w:r>
          </w:p>
        </w:tc>
        <w:tc>
          <w:tcPr>
            <w:tcW w:type="dxa" w:w="592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报告已生成，可查看风险和预约建议。</w:t>
            </w:r>
          </w:p>
        </w:tc>
      </w:tr>
      <w:tr>
        <w:tc>
          <w:tcPr>
            <w:tcW w:type="dxa" w:w="12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高风险报告</w:t>
            </w:r>
          </w:p>
        </w:tc>
        <w:tc>
          <w:tcPr>
            <w:tcW w:type="dxa" w:w="219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用户、医生</w:t>
            </w:r>
          </w:p>
        </w:tc>
        <w:tc>
          <w:tcPr>
            <w:tcW w:type="dxa" w:w="592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提醒尽快就诊，医生端生成待办。</w:t>
            </w:r>
          </w:p>
        </w:tc>
      </w:tr>
      <w:tr>
        <w:tc>
          <w:tcPr>
            <w:tcW w:type="dxa" w:w="12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预约确认/取消/改期</w:t>
            </w:r>
          </w:p>
        </w:tc>
        <w:tc>
          <w:tcPr>
            <w:tcW w:type="dxa" w:w="219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用户、医生</w:t>
            </w:r>
          </w:p>
        </w:tc>
        <w:tc>
          <w:tcPr>
            <w:tcW w:type="dxa" w:w="592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展示时间、科室、医生和状态变化。</w:t>
            </w:r>
          </w:p>
        </w:tc>
      </w:tr>
      <w:tr>
        <w:tc>
          <w:tcPr>
            <w:tcW w:type="dxa" w:w="12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随访任务到期</w:t>
            </w:r>
          </w:p>
        </w:tc>
        <w:tc>
          <w:tcPr>
            <w:tcW w:type="dxa" w:w="219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</w:t>
            </w:r>
          </w:p>
        </w:tc>
        <w:tc>
          <w:tcPr>
            <w:tcW w:type="dxa" w:w="592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提醒完成语音问诊、刷牙记录或生活记录。</w:t>
            </w:r>
          </w:p>
        </w:tc>
      </w:tr>
      <w:tr>
        <w:tc>
          <w:tcPr>
            <w:tcW w:type="dxa" w:w="12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随访异常</w:t>
            </w:r>
          </w:p>
        </w:tc>
        <w:tc>
          <w:tcPr>
            <w:tcW w:type="dxa" w:w="219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用户、医生</w:t>
            </w:r>
          </w:p>
        </w:tc>
        <w:tc>
          <w:tcPr>
            <w:tcW w:type="dxa" w:w="592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用户提示联系医生，医生端生成异常待办。</w:t>
            </w:r>
          </w:p>
        </w:tc>
      </w:tr>
      <w:tr>
        <w:tc>
          <w:tcPr>
            <w:tcW w:type="dxa" w:w="12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依从性下降</w:t>
            </w:r>
          </w:p>
        </w:tc>
        <w:tc>
          <w:tcPr>
            <w:tcW w:type="dxa" w:w="219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</w:t>
            </w:r>
          </w:p>
        </w:tc>
        <w:tc>
          <w:tcPr>
            <w:tcW w:type="dxa" w:w="592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提醒改进刷牙、牙线、用药或饮食。</w:t>
            </w:r>
          </w:p>
        </w:tc>
      </w:tr>
      <w:tr>
        <w:tc>
          <w:tcPr>
            <w:tcW w:type="dxa" w:w="12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社交匹配成功</w:t>
            </w:r>
          </w:p>
        </w:tc>
        <w:tc>
          <w:tcPr>
            <w:tcW w:type="dxa" w:w="219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</w:t>
            </w:r>
          </w:p>
        </w:tc>
        <w:tc>
          <w:tcPr>
            <w:tcW w:type="dxa" w:w="592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展示匹配结果和隐私提示。</w:t>
            </w:r>
          </w:p>
        </w:tc>
      </w:tr>
    </w:tbl>
    <w:p>
      <w:pPr>
        <w:spacing w:after="40"/>
      </w:pPr>
    </w:p>
    <w:p>
      <w:pPr>
        <w:pStyle w:val="Heading1"/>
      </w:pPr>
      <w:r>
        <w:t>7. 非功能需求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614"/>
        <w:gridCol w:w="7746"/>
      </w:tblGrid>
      <w:tr>
        <w:tc>
          <w:tcPr>
            <w:tcW w:type="dxa" w:w="1614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类型</w:t>
            </w:r>
          </w:p>
        </w:tc>
        <w:tc>
          <w:tcPr>
            <w:tcW w:type="dxa" w:w="7746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要求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性能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常规页面首屏加载目标不超过 2 秒；图片质量检测目标 3 秒内返回；图片上传完成后 60 秒内返回 AI 报告或明确失败原因。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稳定性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分析、预约、随访提交等关键链路需支持失败重试和状态恢复。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兼容性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用户端支持 iOS/Android 主流机型；医生/护士电脑端优先适配 1440px 以上桌面浏览器。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安全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全站 HTTPS；敏感数据加密存储；后台账号强密码和权限控制。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可追溯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结果、医生复核、消息通知、改期审核均需保留操作日志。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可配置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科室、医生排班、改期限制、随访任务、评分权重、风险阈值可由后台配置。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可用性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高风险提示、按钮禁用、上传进度、空状态和错误提示需清晰可见。</w:t>
            </w:r>
          </w:p>
        </w:tc>
      </w:tr>
      <w:tr>
        <w:tc>
          <w:tcPr>
            <w:tcW w:type="dxa" w:w="1614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医学合规</w:t>
            </w:r>
          </w:p>
        </w:tc>
        <w:tc>
          <w:tcPr>
            <w:tcW w:type="dxa" w:w="7746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文案需区分健康建议、风险提示和医生诊疗意见；涉及诊断、治疗、用药的内容必须由医生确认。</w:t>
            </w:r>
          </w:p>
        </w:tc>
      </w:tr>
    </w:tbl>
    <w:p>
      <w:pPr>
        <w:spacing w:after="40"/>
      </w:pPr>
    </w:p>
    <w:p>
      <w:pPr>
        <w:pStyle w:val="Heading1"/>
      </w:pPr>
      <w:r>
        <w:t>8. 埋点与指标</w:t>
      </w:r>
    </w:p>
    <w:p>
      <w:pPr>
        <w:pStyle w:val="Heading2"/>
      </w:pPr>
      <w:r>
        <w:t>8.1 业务指标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2035"/>
        <w:gridCol w:w="7325"/>
      </w:tblGrid>
      <w:tr>
        <w:tc>
          <w:tcPr>
            <w:tcW w:type="dxa" w:w="2035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指标</w:t>
            </w:r>
          </w:p>
        </w:tc>
        <w:tc>
          <w:tcPr>
            <w:tcW w:type="dxa" w:w="7325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目标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初筛完成率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上传照片用户中完成报告的比例。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报告到预约转化率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查看报告后发起预约的比例。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预约成功率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提交预约后成功确认的比例。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改期处理时长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用户提交改期到医生审核完成的平均时间。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随访任务完成率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检查后每日任务完成比例。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异常随访处理率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医生端异常待办被关闭或处理的比例。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依从性评分提升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用户检查后 7 天内评分变化。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女性核心场景改期完成率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因经期、妊娠/备孕、身体不适等原因发起改期后成功确认的比例。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可穿戴授权转化率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用户在改期或随访场景中授权可穿戴数据摘要的比例。</w:t>
            </w:r>
          </w:p>
        </w:tc>
      </w:tr>
      <w:tr>
        <w:tc>
          <w:tcPr>
            <w:tcW w:type="dxa" w:w="203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社交匹配转化率</w:t>
            </w:r>
          </w:p>
        </w:tc>
        <w:tc>
          <w:tcPr>
            <w:tcW w:type="dxa" w:w="7325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授权社交匹配后进入社区互动的比例。</w:t>
            </w:r>
          </w:p>
        </w:tc>
      </w:tr>
    </w:tbl>
    <w:p>
      <w:pPr>
        <w:spacing w:after="40"/>
      </w:pPr>
    </w:p>
    <w:p>
      <w:pPr>
        <w:pStyle w:val="Heading2"/>
      </w:pPr>
      <w:r>
        <w:t>8.2 关键事件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login_success：登录成功。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ai_photo_upload：上传口腔照片。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ai_report_generated：AI 报告生成。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appointment_submit：提交预约。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appointment_reschedule_submit：提交改期申请。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wearable_permission_confirm：确认可穿戴数据授权。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voice_checkin_complete：完成 AI 语音问诊。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brushing_report_upload：上传刷牙报告。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lifestyle_log_submit：提交生活记录。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compliance_score_view：查看依从性评分。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social_privacy_confirm：确认社交隐私权限。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doctor_review_submit：医生提交复核结论。</w:t>
      </w:r>
    </w:p>
    <w:p>
      <w:pPr>
        <w:pStyle w:val="Heading1"/>
      </w:pPr>
      <w:r>
        <w:t>9. 验收标准</w:t>
      </w:r>
    </w:p>
    <w:p>
      <w:pPr>
        <w:pStyle w:val="Heading2"/>
      </w:pPr>
      <w:r>
        <w:t>9.1 用户端主链路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新用户可完成注册/授权登录，并进入患者端首页。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用户可拍摄或上传口腔照片，质量通过后生成 AI 报告。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AI 报告包含综合评分、分项指标、风险提示、健康建议和预约入口。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用户可基于推荐科室完成预约提交，并在预约卡中查看状态。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用户可在改期流程中选择经期、妊娠/备孕、身体不适等原因，并在授权后使用可穿戴摘要辅助推荐时段。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用户可在检查后首页完成语音问诊、刷牙记录和生活记录。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用户可查看依从性评分、趋势和需要改进项。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用户可上传病情报告、设置隐私权限并进入社交匹配流程。</w:t>
      </w:r>
    </w:p>
    <w:p>
      <w:pPr>
        <w:pStyle w:val="Heading2"/>
      </w:pPr>
      <w:r>
        <w:t>9.2 医院端主链路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医生可在工作台看到待处理预约、改期申请、高风险报告和随访异常。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医生可进入患者详情查看 AI 报告、上传材料、随访记录和康复数据。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医生可对 AI 报告进行复核，并提交医生结论或建议。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医生可审核预约改期，用户端收到状态更新。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护士可查看服务任务、标记执行状态并记录异常。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医生手机端可查看今日任务和快速处理关键待办。</w:t>
      </w:r>
    </w:p>
    <w:p>
      <w:pPr>
        <w:pStyle w:val="Heading2"/>
      </w:pPr>
      <w:r>
        <w:t>9.3 安全与异常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未授权健康数据上传时，不允许进入 AI 分析。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AI 高风险结果必须触发用户提示和医生端待办。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社交匹配必须经过单独授权，并支持撤销。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所有医生复核、改期审核、报告查看均记录审计日志。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上传失败、AI 分析失败、预约失败均有可理解的错误提示和重试入口。</w:t>
      </w:r>
    </w:p>
    <w:p>
      <w:pPr>
        <w:pStyle w:val="Heading1"/>
      </w:pPr>
      <w:r>
        <w:t>10. MVP 建议</w:t>
      </w:r>
    </w:p>
    <w:p>
      <w:pPr>
        <w:pStyle w:val="Heading2"/>
      </w:pPr>
      <w:r>
        <w:t>10.1 MVP 必做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登录注册与授权。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AI 牙周健康初诊：上传、质检、报告、预约引导。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预约就诊与改期申请，支持经期/妊娠/身体不适等女性核心场景原因。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医生电脑端工作台、患者详情、AI 报告复核、改期审核。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检查后随访首页、AI 语音问诊、生活记录、依从性评分。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基础通知与审计日志。</w:t>
      </w:r>
    </w:p>
    <w:p>
      <w:pPr>
        <w:pStyle w:val="Heading2"/>
      </w:pPr>
      <w:r>
        <w:t>10.2 第二阶段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智能牙刷设备连接和刷牙报告。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可穿戴设备摘要授权与改期辅助。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医生手机端。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护士端服务任务。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就诊中舒缓服务。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社交情感支持与社区。</w:t>
      </w:r>
    </w:p>
    <w:p>
      <w:pPr>
        <w:pStyle w:val="Heading2"/>
      </w:pPr>
      <w:r>
        <w:t>10.3 第三阶段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HIS/EMR 深度集成。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生活方式数据 API 与多源风险预测模型。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个性化随访计划配置。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更精细的 AI 风险模型和医生反馈训练闭环。</w:t>
      </w:r>
    </w:p>
    <w:p>
      <w:pPr>
        <w:pStyle w:val="ListBullet"/>
      </w:pPr>
      <w:r>
        <w:rPr>
          <w:rFonts w:ascii="Calibri" w:hAnsi="Calibri" w:eastAsia="Microsoft YaHei"/>
          <w:sz w:val="21"/>
        </w:rPr>
        <w:t>社区内容治理后台和医生科普内容体系。</w:t>
      </w:r>
    </w:p>
    <w:p>
      <w:pPr>
        <w:pStyle w:val="Heading1"/>
      </w:pPr>
      <w:r>
        <w:t>11. 待确认问题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AI 初筛能力是否由自研模型提供，还是接入第三方口腔影像识别服务。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AI 报告中“评分”和“分项百分比”的医学定义、阈值和展示口径需由口腔医生确认。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预约排班是否需要对接现有医院系统，还是先采用独立排班。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智能牙刷设备品牌、连接协议和数据字段需确认。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智能手表/健康 App 可接入的数据类型、平台限制和授权弹窗文案需确认。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就诊中舒缓服务是否在真实医院场景落地，涉及哪些物料、禁忌和执行人员。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社交社区是否需要实名、匿名或半匿名机制，以及内容审核规则。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医生端与护士端的具体权限边界需结合医院组织架构确认。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用户端是否需要支持多患者档案，如儿童、老人或家庭成员。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检查后随访周期和任务模板需按不同治疗方案配置。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生活方式风险预测中 VC 摄入、激素/经期、吸烟、心情、用药等因素的医学权重需医生确认。</w:t>
      </w:r>
    </w:p>
    <w:p>
      <w:pPr>
        <w:pStyle w:val="ListNumber"/>
      </w:pPr>
      <w:r>
        <w:rPr>
          <w:rFonts w:ascii="Calibri" w:hAnsi="Calibri" w:eastAsia="Microsoft YaHei"/>
          <w:sz w:val="21"/>
        </w:rPr>
        <w:t>产品上线地区的医疗合规、隐私合规和 AI 辅助诊疗边界需法务/合规复核。</w:t>
      </w:r>
    </w:p>
    <w:p>
      <w:pPr>
        <w:pStyle w:val="Heading1"/>
      </w:pPr>
      <w:r>
        <w:t>12. 补充资料取舍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2160"/>
        <w:gridCol w:w="2880"/>
        <w:gridCol w:w="4320"/>
      </w:tblGrid>
      <w:tr>
        <w:tc>
          <w:tcPr>
            <w:tcW w:type="dxa" w:w="2160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资料点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处理方式</w:t>
            </w:r>
          </w:p>
        </w:tc>
        <w:tc>
          <w:tcPr>
            <w:tcW w:type="dxa" w:w="4320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PRD 落点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全球层面 FemTech 自 2016 年涌现，女性健康需要科技赋能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保留但降权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作为定位启发写入背景；不把产品定义为泛 FemTech 平台，避免偏离口腔主线。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女性受荷尔蒙影响，更需要健康科技赋能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改写保留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改为“月经周期、妊娠、情绪压力、生活方式等因素会影响牙龈炎症感知和就诊安排”，避免绝对化。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国家口腔健康政策、健康口腔行动方案（2019—2025年）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保留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写入背景与参考来源，用于支撑牙周健康、定期检查、互联网健康档案、口腔健康产业发展。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中国与发达国家口腔健康差距、重治疗轻预防、牙线使用率低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改写保留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作为产品机会方向保留，不写具体国家对比结论，避免没有统计口径时过度泛化。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口腔菌群与心血管、糖尿病长期相关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改写保留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作为健康管理必要性背景，不写成确定因果或治疗承诺。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2024 年卫生健康行业 AI 应用场景参考指引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保留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支撑 AI 预问诊、影像辅助诊断、医学科普、数据脱敏和权限隔离。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生活方式数据 API 化、风险叠加和提前干预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保留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写入生活习惯记录、生活方式数据接口、风险预测与第三阶段规划。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医保改革后付费端倾向医院国际部和私立牙科诊所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不进入正式需求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可作为商业化假设另做商业计划，不作为 PRD 功能依据。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The LANCET 相关标准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删除具体期刊表述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改为“临床指南、权威论文、医院规则库”等依据类型；除非后续提供具体文献。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“口腔相关治疗成为下一个爆发点”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删除宣传性表述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PRD 保留产品机会，不使用不可验证的市场口号。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手表预约更改、基础体温下降、经期不稳定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改写保留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写入可穿戴设备辅助改期；强调用户授权、摘要展示、医生审核，不作妇科诊断。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舒克电动牙刷联动</w:t>
            </w:r>
          </w:p>
        </w:tc>
        <w:tc>
          <w:tcPr>
            <w:tcW w:type="dxa" w:w="288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改写保留</w:t>
            </w:r>
          </w:p>
        </w:tc>
        <w:tc>
          <w:tcPr>
            <w:tcW w:type="dxa" w:w="432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写为“智能牙刷设备连接”，具体品牌作为待确认问题，避免 PRD 被单一供应商锁死。</w:t>
            </w:r>
          </w:p>
        </w:tc>
      </w:tr>
    </w:tbl>
    <w:p>
      <w:pPr>
        <w:spacing w:after="40"/>
      </w:pPr>
    </w:p>
    <w:p>
      <w:pPr>
        <w:pStyle w:val="Heading1"/>
      </w:pPr>
      <w:r>
        <w:t>13. 参考来源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2753"/>
        <w:gridCol w:w="6607"/>
      </w:tblGrid>
      <w:tr>
        <w:tc>
          <w:tcPr>
            <w:tcW w:type="dxa" w:w="2753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来源</w:t>
            </w:r>
          </w:p>
        </w:tc>
        <w:tc>
          <w:tcPr>
            <w:tcW w:type="dxa" w:w="6607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与本 PRD 的关系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国家卫生健康委《健康口腔行动方案（2019—2025年）》：https://www.nhc.gov.cn/jkj/c100063/201902/ea1042d29ff24485b981bcc20ac5083b.shtml</w:t>
            </w:r>
          </w:p>
        </w:tc>
        <w:tc>
          <w:tcPr>
            <w:tcW w:type="dxa" w:w="660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支撑牙周健康、中青年人群口腔管理、定期检查、预防性洁治、互联网口腔健康档案等方向。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国家卫生健康委等三部门《卫生健康行业人工智能应用场景参考指引》通知：https://www.nhc.gov.cn/wjw/c100175/202411/5bcb3c4edd064e31ac5d279caf5830f4.shtml</w:t>
            </w:r>
          </w:p>
        </w:tc>
        <w:tc>
          <w:tcPr>
            <w:tcW w:type="dxa" w:w="660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支撑 AI+医疗卫生应用、创新发展和政策语境。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《卫生健康行业人工智能应用场景参考指引》附件 PDF：https://www.nhc.gov.cn/cms-search/downFiles/b77f064746f344588a29d61d09c572f0.pdf</w:t>
            </w:r>
          </w:p>
        </w:tc>
        <w:tc>
          <w:tcPr>
            <w:tcW w:type="dxa" w:w="660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支撑 AI 预问诊、影像辅助诊断、医学科普、患者隐私保护、脱敏和权限隔离等要求。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WHO Global Oral Health Status Report 2022：https://www.who.int/publications/i/item/9789240061484</w:t>
            </w:r>
          </w:p>
        </w:tc>
        <w:tc>
          <w:tcPr>
            <w:tcW w:type="dxa" w:w="660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支撑口腔疾病全球负担和口腔健康管理价值背景。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CDC Periodontal Disease and Pregnancy Oral Health 页面：https://www.cdc.gov/oral-health/about/gum-periodontal-disease.html；https://www.cdc.gov/oral-health/data-research/facts-stats/fast-facts-pregnancy-and-oral-health.html</w:t>
            </w:r>
          </w:p>
        </w:tc>
        <w:tc>
          <w:tcPr>
            <w:tcW w:type="dxa" w:w="660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支撑牙周疾病与口腔卫生、妊娠等因素相关的健康管理背景。</w:t>
            </w:r>
          </w:p>
        </w:tc>
      </w:tr>
      <w:tr>
        <w:tc>
          <w:tcPr>
            <w:tcW w:type="dxa" w:w="2753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FemTech 术语公开资料：https://www.euronews.com/next/2024/05/02/meet-ida-tin-the-entrepreneur-who-coined-the-term-femtech-europes-health-tech-pioneers</w:t>
            </w:r>
          </w:p>
        </w:tc>
        <w:tc>
          <w:tcPr>
            <w:tcW w:type="dxa" w:w="660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仅作为行业语境参考，不作为本产品医学依据。</w:t>
            </w:r>
          </w:p>
        </w:tc>
      </w:tr>
    </w:tbl>
    <w:p>
      <w:pPr>
        <w:spacing w:after="40"/>
      </w:pPr>
    </w:p>
    <w:p>
      <w:pPr>
        <w:pStyle w:val="Heading1"/>
      </w:pPr>
      <w:r>
        <w:t>14. 原型页面映射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Ind w:type="dxa" w:w="120"/>
      </w:tblPr>
      <w:tblGrid>
        <w:gridCol w:w="1141"/>
        <w:gridCol w:w="4109"/>
        <w:gridCol w:w="4110"/>
      </w:tblGrid>
      <w:tr>
        <w:tc>
          <w:tcPr>
            <w:tcW w:type="dxa" w:w="1141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阶段</w:t>
            </w:r>
          </w:p>
        </w:tc>
        <w:tc>
          <w:tcPr>
            <w:tcW w:type="dxa" w:w="4109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原型页面</w:t>
            </w:r>
          </w:p>
        </w:tc>
        <w:tc>
          <w:tcPr>
            <w:tcW w:type="dxa" w:w="4110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/>
                <w:color w:val="1F1F1F"/>
                <w:sz w:val="18"/>
              </w:rPr>
              <w:t>对应需求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检查前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欢迎页、登录页、注册页、微信/Apple/支付宝授权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A01-A04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检查前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牙龈守护首页、患者端/医生端入口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A03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检查前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智能牙周健康初诊、确认上传照片、AI 识别中、AI 分析报告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B01-B08、AI01-AI03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检查前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牙齿状态图、AI 口腔助手、预约就诊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B04、B06、C01-C06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检查前/就诊中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艺术疗愈服务、AI 智能选香/选画/选曲、手动选择、服务确认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D01-D05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医院端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医生电脑端工作台、预约管理、患者详情、AI 辅助诊断、复诊管理、康复看板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E01-E08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医院端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护士电脑端服务任务与详情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F01-F04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医院端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医生手机端首页、患者列表、详情、趋势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G01-G04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检查后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就诊后随访首页、依从性评分、重要提醒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H01-H04、M01-M05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检查后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预约更改原因、AI 推荐时间、医生可用时间、提交改期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I01-I06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检查后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AI 语音问诊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J01-J05、AI04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检查后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智能刷牙监测、查看报告、上传医生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K01-K05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检查后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生活习惯记录、AI 健康预测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L01-L06、AI05</w:t>
            </w:r>
          </w:p>
        </w:tc>
      </w:tr>
      <w:tr>
        <w:tc>
          <w:tcPr>
            <w:tcW w:type="dxa" w:w="1141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检查后</w:t>
            </w:r>
          </w:p>
        </w:tc>
        <w:tc>
          <w:tcPr>
            <w:tcW w:type="dxa" w:w="4109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社交情感支持、上传病情报告、隐私权限、智能匹配、康复社区</w:t>
            </w:r>
          </w:p>
        </w:tc>
        <w:tc>
          <w:tcPr>
            <w:tcW w:type="dxa" w:w="4110"/>
            <w:vAlign w:val="center"/>
          </w:tcPr>
          <w:p>
            <w:pPr>
              <w:spacing w:after="0" w:line="259" w:lineRule="auto"/>
              <w:jc w:val="left"/>
            </w:pPr>
            <w:r/>
            <w:r>
              <w:rPr>
                <w:rFonts w:ascii="Calibri" w:hAnsi="Calibri" w:eastAsia="Microsoft YaHei"/>
                <w:b w:val="0"/>
                <w:sz w:val="17"/>
              </w:rPr>
              <w:t>N01-N06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Microsoft YaHei"/>
        <w:color w:val="666666"/>
        <w:sz w:val="18"/>
      </w:rPr>
      <w:t>产品需求文档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Microsoft YaHei"/>
        <w:color w:val="666666"/>
        <w:sz w:val="18"/>
      </w:rPr>
      <w:t>女性AI牙周健康管理平台产品需求文档 | V0.2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64" w:lineRule="auto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64" w:lineRule="auto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00" w:line="269" w:lineRule="auto"/>
      <w:contextualSpacing/>
    </w:pPr>
    <w:rPr>
      <w:rFonts w:ascii="Calibri" w:hAnsi="Calibri" w:eastAsia="Microsoft YaHe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00" w:line="269" w:lineRule="auto"/>
      <w:contextualSpacing/>
    </w:pPr>
    <w:rPr>
      <w:rFonts w:ascii="Calibri" w:hAnsi="Calibri" w:eastAsia="Microsoft YaHe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